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5F" w:rsidRPr="00D97A5F" w:rsidRDefault="00D97A5F" w:rsidP="00D97A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81"/>
          <w:sz w:val="28"/>
          <w:szCs w:val="28"/>
        </w:rPr>
      </w:pPr>
      <w:bookmarkStart w:id="0" w:name="_GoBack"/>
      <w:bookmarkEnd w:id="0"/>
      <w:r w:rsidRPr="00D97A5F">
        <w:rPr>
          <w:rFonts w:ascii="Arial,Bold" w:hAnsi="Arial,Bold" w:cs="Arial,Bold"/>
          <w:b/>
          <w:bCs/>
          <w:color w:val="000081"/>
          <w:sz w:val="28"/>
          <w:szCs w:val="28"/>
        </w:rPr>
        <w:t xml:space="preserve">SCARICO, STOCCAGGIO E MOVIMENTAZIONE LASTRE </w:t>
      </w:r>
      <w:r>
        <w:rPr>
          <w:rFonts w:ascii="Arial,Bold" w:hAnsi="Arial,Bold" w:cs="Arial,Bold"/>
          <w:b/>
          <w:bCs/>
          <w:color w:val="000081"/>
          <w:sz w:val="28"/>
          <w:szCs w:val="28"/>
        </w:rPr>
        <w:t xml:space="preserve"> PER SOLAI</w:t>
      </w:r>
    </w:p>
    <w:p w:rsidR="00D97A5F" w:rsidRDefault="00D97A5F" w:rsidP="00D97A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81"/>
          <w:sz w:val="18"/>
          <w:szCs w:val="18"/>
        </w:rPr>
      </w:pPr>
    </w:p>
    <w:p w:rsidR="00443F68" w:rsidRDefault="00443F68" w:rsidP="00443F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1) DESCRIZIONE DELLA LAVORAZIONE</w:t>
      </w:r>
    </w:p>
    <w:p w:rsidR="00443F68" w:rsidRDefault="00443F68" w:rsidP="00443F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2E7E3D" w:rsidRDefault="002E7E3D" w:rsidP="002E7E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 questa tipologia di solaio viene normalmente utilizzato il banchinaggio discontinuo, con posa delle lastre sulle banchine delle travi da gettare (o sulle travi prefabbricate in c.a. o in metallo) e sui rompi tratta intermedi.</w:t>
      </w:r>
    </w:p>
    <w:p w:rsidR="002E7E3D" w:rsidRDefault="002E7E3D" w:rsidP="002E7E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posa in opera dei solai a lastre, va pianificata nel dettaglio con le sequenze delle fasi lavorative, al fine di individuarne i rischi e adottare le relative misure preventive e protettive. Sono da prendere in considerazione le seguenti fasi lavorative:</w:t>
      </w:r>
    </w:p>
    <w:p w:rsidR="002E7E3D" w:rsidRDefault="002E7E3D" w:rsidP="002E7E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lo scarico dagli autocarri mediante sollevamento con gru o autogru;</w:t>
      </w:r>
    </w:p>
    <w:p w:rsidR="002E7E3D" w:rsidRDefault="002E7E3D" w:rsidP="002E7E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lo stoccaggio, il sollevamento e la movimentazione dei materiali (lastre, elementi interposti, ferri supplementari);</w:t>
      </w:r>
    </w:p>
    <w:p w:rsidR="002E7E3D" w:rsidRDefault="002E7E3D" w:rsidP="002E7E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realizzazione delle banchine e dei </w:t>
      </w:r>
      <w:proofErr w:type="spellStart"/>
      <w:r>
        <w:rPr>
          <w:rFonts w:ascii="Arial" w:hAnsi="Arial" w:cs="Arial"/>
          <w:sz w:val="20"/>
          <w:szCs w:val="20"/>
        </w:rPr>
        <w:t>rompitratta</w:t>
      </w:r>
      <w:proofErr w:type="spellEnd"/>
      <w:r>
        <w:rPr>
          <w:rFonts w:ascii="Arial" w:hAnsi="Arial" w:cs="Arial"/>
          <w:sz w:val="20"/>
          <w:szCs w:val="20"/>
        </w:rPr>
        <w:t xml:space="preserve"> intermedi;</w:t>
      </w:r>
    </w:p>
    <w:p w:rsidR="002E7E3D" w:rsidRDefault="002E7E3D" w:rsidP="002E7E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la posa in opera delle lastre prefabbricate, con eventuale successiva integrazione degli elementi interposti quando non siano già presenti;</w:t>
      </w:r>
    </w:p>
    <w:p w:rsidR="002E7E3D" w:rsidRDefault="002E7E3D" w:rsidP="002E7E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la posa in opera delle armature integrative (ferri longitudinali e trasversali, nonché reti elettrosaldate);</w:t>
      </w:r>
    </w:p>
    <w:p w:rsidR="002E7E3D" w:rsidRDefault="002E7E3D" w:rsidP="002E7E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il getto del </w:t>
      </w:r>
      <w:proofErr w:type="spellStart"/>
      <w:r>
        <w:rPr>
          <w:rFonts w:ascii="Arial" w:hAnsi="Arial" w:cs="Arial"/>
          <w:sz w:val="20"/>
          <w:szCs w:val="20"/>
        </w:rPr>
        <w:t>cls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92066A" w:rsidRDefault="0092066A" w:rsidP="0092066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81"/>
          <w:sz w:val="18"/>
          <w:szCs w:val="18"/>
        </w:rPr>
      </w:pPr>
    </w:p>
    <w:p w:rsidR="00443F68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2) INDIVIDUAZIONE DEI RISCHI PROVENIENTI DALLA LAVORAZIONE</w:t>
      </w:r>
    </w:p>
    <w:p w:rsidR="00443F68" w:rsidRDefault="00443F68" w:rsidP="00443F68">
      <w:pPr>
        <w:tabs>
          <w:tab w:val="left" w:pos="214"/>
        </w:tabs>
        <w:spacing w:after="0" w:line="240" w:lineRule="auto"/>
        <w:ind w:left="215"/>
        <w:rPr>
          <w:rFonts w:ascii="Arial" w:hAnsi="Arial" w:cs="Arial"/>
          <w:b/>
          <w:bCs/>
          <w:sz w:val="20"/>
          <w:szCs w:val="20"/>
        </w:rPr>
      </w:pP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Caduta dall’alto</w:t>
      </w: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Caduta di materiale dall’alto</w:t>
      </w: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Urti, colpi, impatti e compressioni</w:t>
      </w: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Scivolamenti e cadute a livello</w:t>
      </w: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Punture, tagli ed abrasioni</w:t>
      </w: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Movimentazione manuale dei carichi</w:t>
      </w:r>
    </w:p>
    <w:p w:rsidR="00443F68" w:rsidRDefault="00443F68" w:rsidP="00443F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43F68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3) MODALITA’ DI GESTIONE IN SICUREZZA DELLA FASE LAVORATIVA E MISURE DI PREVENZIONE</w:t>
      </w:r>
    </w:p>
    <w:p w:rsidR="00443F68" w:rsidRDefault="00443F68" w:rsidP="0092066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81"/>
          <w:sz w:val="16"/>
          <w:szCs w:val="16"/>
        </w:rPr>
      </w:pPr>
    </w:p>
    <w:p w:rsidR="0092066A" w:rsidRDefault="0092066A" w:rsidP="0092066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81"/>
          <w:sz w:val="16"/>
          <w:szCs w:val="16"/>
        </w:rPr>
      </w:pPr>
      <w:r>
        <w:rPr>
          <w:rFonts w:ascii="Arial,Bold" w:hAnsi="Arial,Bold" w:cs="Arial,Bold"/>
          <w:b/>
          <w:bCs/>
          <w:color w:val="000081"/>
          <w:sz w:val="16"/>
          <w:szCs w:val="16"/>
        </w:rPr>
        <w:t>L</w:t>
      </w:r>
      <w:r>
        <w:rPr>
          <w:rFonts w:ascii="Arial,Bold" w:hAnsi="Arial,Bold" w:cs="Arial,Bold"/>
          <w:b/>
          <w:bCs/>
          <w:color w:val="000081"/>
          <w:sz w:val="20"/>
          <w:szCs w:val="20"/>
        </w:rPr>
        <w:t>’</w:t>
      </w:r>
      <w:r>
        <w:rPr>
          <w:rFonts w:ascii="Arial,Bold" w:hAnsi="Arial,Bold" w:cs="Arial,Bold"/>
          <w:b/>
          <w:bCs/>
          <w:color w:val="000081"/>
          <w:sz w:val="16"/>
          <w:szCs w:val="16"/>
        </w:rPr>
        <w:t>OPERATORE CHE  SALE SUL CAMION</w:t>
      </w:r>
      <w:r>
        <w:rPr>
          <w:rFonts w:ascii="Arial,Bold" w:hAnsi="Arial,Bold" w:cs="Arial,Bold"/>
          <w:b/>
          <w:bCs/>
          <w:color w:val="000081"/>
          <w:sz w:val="20"/>
          <w:szCs w:val="20"/>
        </w:rPr>
        <w:t>,</w:t>
      </w:r>
      <w:r>
        <w:rPr>
          <w:rFonts w:ascii="Arial,Bold" w:hAnsi="Arial,Bold" w:cs="Arial,Bold"/>
          <w:b/>
          <w:bCs/>
          <w:color w:val="000081"/>
          <w:sz w:val="16"/>
          <w:szCs w:val="16"/>
        </w:rPr>
        <w:t xml:space="preserve">OLTRE I </w:t>
      </w:r>
      <w:r>
        <w:rPr>
          <w:rFonts w:ascii="Arial,Bold" w:hAnsi="Arial,Bold" w:cs="Arial,Bold"/>
          <w:b/>
          <w:bCs/>
          <w:color w:val="000081"/>
          <w:sz w:val="20"/>
          <w:szCs w:val="20"/>
        </w:rPr>
        <w:t xml:space="preserve">2 </w:t>
      </w:r>
      <w:r>
        <w:rPr>
          <w:rFonts w:ascii="Arial,Bold" w:hAnsi="Arial,Bold" w:cs="Arial,Bold"/>
          <w:b/>
          <w:bCs/>
          <w:color w:val="000081"/>
          <w:sz w:val="16"/>
          <w:szCs w:val="16"/>
        </w:rPr>
        <w:t>ML</w:t>
      </w:r>
      <w:r>
        <w:rPr>
          <w:rFonts w:ascii="Arial,Bold" w:hAnsi="Arial,Bold" w:cs="Arial,Bold"/>
          <w:b/>
          <w:bCs/>
          <w:color w:val="000081"/>
          <w:sz w:val="20"/>
          <w:szCs w:val="20"/>
        </w:rPr>
        <w:t xml:space="preserve">. </w:t>
      </w:r>
      <w:r>
        <w:rPr>
          <w:rFonts w:ascii="Arial,Bold" w:hAnsi="Arial,Bold" w:cs="Arial,Bold"/>
          <w:b/>
          <w:bCs/>
          <w:color w:val="000081"/>
          <w:sz w:val="16"/>
          <w:szCs w:val="16"/>
        </w:rPr>
        <w:t>IN QUOTA</w:t>
      </w:r>
      <w:r>
        <w:rPr>
          <w:rFonts w:ascii="Arial,Bold" w:hAnsi="Arial,Bold" w:cs="Arial,Bold"/>
          <w:b/>
          <w:bCs/>
          <w:color w:val="000081"/>
          <w:sz w:val="20"/>
          <w:szCs w:val="20"/>
        </w:rPr>
        <w:t xml:space="preserve">, </w:t>
      </w:r>
      <w:r>
        <w:rPr>
          <w:rFonts w:ascii="Arial,Bold" w:hAnsi="Arial,Bold" w:cs="Arial,Bold"/>
          <w:b/>
          <w:bCs/>
          <w:color w:val="000081"/>
          <w:sz w:val="16"/>
          <w:szCs w:val="16"/>
        </w:rPr>
        <w:t>PER IMBRAGARE LE LASTRE DA SOLLEVARE DEVE ESSERE A SUA VOLTA ANCORATO</w:t>
      </w:r>
    </w:p>
    <w:p w:rsidR="0092066A" w:rsidRDefault="0092066A" w:rsidP="009206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2066A" w:rsidRDefault="0092066A" w:rsidP="009206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Prima dell’arrivo in cantiere dei materiali per la posa del solaio è importante che sia già stata individuata una precisa zona per il loro stoccaggio e che siano conosciute le dimensioni e il peso complessivo del mezzo di trasporto e del materiale trasportato: ciò è necessario per potere preventivamente individuare la zona di accesso e il percorso che tale mezzo dovrà effettuare in cantiere, nonché la puntuale zona di fermo del mezzo di trasporto per lo scarico dei materiali. </w:t>
      </w:r>
    </w:p>
    <w:p w:rsidR="0092066A" w:rsidRDefault="0092066A" w:rsidP="009206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Qualora il mezzo di trasporto, per la fase di scarico del materiale, debba sostare su area limitrofa e esterna al cantiere è indispensabile transennare l’area di scarico per il periodo della fase lavorativa e indicare con la segnaletica richiesta dalla specifica situazione l’esigenza di tenere lontano da un potenziale pericolo i fruitori dell’area stessa.</w:t>
      </w:r>
    </w:p>
    <w:p w:rsidR="0092066A" w:rsidRDefault="0092066A" w:rsidP="009206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Nel caso in cui l’automezzo sia costretto a scaricare sostando su suolo pubblico, in particolari su arterie stradali pubbliche, va preventivamente verificata la necessità di ottenere il permesso di occupazione di suolo pubblico, e in ogni caso vanno posti in opera le delimitazioni e la segnaletica richiesti dal codice della strada.</w:t>
      </w:r>
    </w:p>
    <w:p w:rsidR="0092066A" w:rsidRDefault="0092066A" w:rsidP="009206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2066A" w:rsidRDefault="0092066A" w:rsidP="009206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L’operatore che sale sul camion ad agganciare le lastre da sollevare dovrà:</w:t>
      </w:r>
    </w:p>
    <w:p w:rsidR="0092066A" w:rsidRDefault="0092066A" w:rsidP="0092066A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2066A">
        <w:rPr>
          <w:rFonts w:ascii="Arial" w:hAnsi="Arial" w:cs="Arial"/>
          <w:color w:val="000000"/>
          <w:sz w:val="20"/>
          <w:szCs w:val="20"/>
        </w:rPr>
        <w:t>fare uso di scale ben inclinate e rese stabili ai piedi e in sommità</w:t>
      </w:r>
    </w:p>
    <w:p w:rsidR="008E5237" w:rsidRPr="0092066A" w:rsidRDefault="0092066A" w:rsidP="0092066A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2066A">
        <w:rPr>
          <w:rFonts w:ascii="Arial" w:hAnsi="Arial" w:cs="Arial"/>
          <w:color w:val="000000"/>
          <w:sz w:val="20"/>
          <w:szCs w:val="20"/>
        </w:rPr>
        <w:t>essere ancorato ai tralicci delle lastre con dislivelli superiore ai 2,00 ml. (si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2066A">
        <w:rPr>
          <w:rFonts w:ascii="Arial" w:hAnsi="Arial" w:cs="Arial"/>
          <w:color w:val="000000"/>
          <w:sz w:val="20"/>
          <w:szCs w:val="20"/>
        </w:rPr>
        <w:t xml:space="preserve">consideri che la quota del pianale del camion è normalmente ad 1,50 ml. </w:t>
      </w:r>
      <w:r>
        <w:rPr>
          <w:rFonts w:ascii="Arial" w:hAnsi="Arial" w:cs="Arial"/>
          <w:color w:val="000000"/>
          <w:sz w:val="20"/>
          <w:szCs w:val="20"/>
        </w:rPr>
        <w:t>d</w:t>
      </w:r>
      <w:r w:rsidRPr="0092066A">
        <w:rPr>
          <w:rFonts w:ascii="Arial" w:hAnsi="Arial" w:cs="Arial"/>
          <w:color w:val="000000"/>
          <w:sz w:val="20"/>
          <w:szCs w:val="20"/>
        </w:rPr>
        <w:t>al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92066A">
        <w:rPr>
          <w:rFonts w:ascii="Arial" w:hAnsi="Arial" w:cs="Arial"/>
          <w:color w:val="000000"/>
          <w:sz w:val="20"/>
          <w:szCs w:val="20"/>
        </w:rPr>
        <w:t>terreno), quindi spostarsi su lastra attigua e, solo allora, dare l’ok per il</w:t>
      </w:r>
      <w:r>
        <w:rPr>
          <w:rFonts w:ascii="Arial" w:hAnsi="Arial" w:cs="Arial"/>
          <w:color w:val="000000"/>
          <w:sz w:val="20"/>
          <w:szCs w:val="20"/>
        </w:rPr>
        <w:t xml:space="preserve"> sollevamento </w:t>
      </w:r>
      <w:r w:rsidRPr="0092066A">
        <w:rPr>
          <w:rFonts w:ascii="Arial" w:hAnsi="Arial" w:cs="Arial"/>
          <w:i/>
          <w:color w:val="000000"/>
          <w:sz w:val="20"/>
          <w:szCs w:val="20"/>
        </w:rPr>
        <w:t>(fig. 1).</w:t>
      </w:r>
    </w:p>
    <w:p w:rsidR="0092066A" w:rsidRPr="0092066A" w:rsidRDefault="0092066A" w:rsidP="0092066A">
      <w:pPr>
        <w:pStyle w:val="Paragrafoelenco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2066A" w:rsidRDefault="0092066A" w:rsidP="0092066A">
      <w:pPr>
        <w:pStyle w:val="Paragrafoelenco"/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724275" cy="2682948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6A" w:rsidRDefault="0092066A" w:rsidP="0092066A">
      <w:pPr>
        <w:pStyle w:val="Didascalia"/>
        <w:jc w:val="center"/>
      </w:pPr>
      <w:r>
        <w:t xml:space="preserve">Figura </w:t>
      </w:r>
      <w:r w:rsidR="00B20075">
        <w:fldChar w:fldCharType="begin"/>
      </w:r>
      <w:r w:rsidR="00B20075">
        <w:instrText xml:space="preserve"> SEQ Figura \* ARABIC </w:instrText>
      </w:r>
      <w:r w:rsidR="00B20075">
        <w:fldChar w:fldCharType="separate"/>
      </w:r>
      <w:r w:rsidR="008F2CC2">
        <w:rPr>
          <w:noProof/>
        </w:rPr>
        <w:t>1</w:t>
      </w:r>
      <w:r w:rsidR="00B20075">
        <w:rPr>
          <w:noProof/>
        </w:rPr>
        <w:fldChar w:fldCharType="end"/>
      </w:r>
      <w:r>
        <w:t xml:space="preserve"> - scarico da camion di lastre prefabbricate, con operatore imbragato e ancorato ai tr</w:t>
      </w:r>
      <w:r w:rsidR="00A6507D">
        <w:t>a</w:t>
      </w:r>
      <w:r>
        <w:t>licci delle lastre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operazioni di stoccaggio e movimentazione dei materiali devono avvenire con tutte le precauzioni che le norme di sicurezza impongono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deposito dei materiali in cantiere deve essere eseguito su superfici piane e stabili, e appoggiando le lastre sui travicelli robusti.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listelli di ripartizione vanno posizionati sulla medesima verticale </w:t>
      </w:r>
      <w:r>
        <w:rPr>
          <w:rFonts w:ascii="Arial,Italic" w:hAnsi="Arial,Italic" w:cs="Arial,Italic"/>
          <w:i/>
          <w:iCs/>
          <w:sz w:val="20"/>
          <w:szCs w:val="20"/>
        </w:rPr>
        <w:t>(fig. 2).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E’ opportuno non sovrapporre lastre oltre quanto indicato dalle schede tecniche del produttore; in ogni caso è buona norma non eccedere il numero di lastre che il produttore ha sovrapposto per il trasporto e non superare comunque le 6 ÷ 8 file sovrapposte in cantiere; infatti eccessivi carichi possono causare la rottura delle parti in calcestruzzo e danneggiare i tralicci schiacciandoli.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6507D" w:rsidRDefault="00A6507D" w:rsidP="00A6507D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62475" cy="251957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85" cy="25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D" w:rsidRDefault="00A6507D" w:rsidP="00A6507D">
      <w:pPr>
        <w:pStyle w:val="Didascalia"/>
        <w:jc w:val="center"/>
      </w:pPr>
      <w:r>
        <w:t xml:space="preserve">Figura </w:t>
      </w:r>
      <w:r w:rsidR="00B20075">
        <w:fldChar w:fldCharType="begin"/>
      </w:r>
      <w:r w:rsidR="00B20075">
        <w:instrText xml:space="preserve"> SEQ Figura \* ARABIC </w:instrText>
      </w:r>
      <w:r w:rsidR="00B20075">
        <w:fldChar w:fldCharType="separate"/>
      </w:r>
      <w:r w:rsidR="008F2CC2">
        <w:rPr>
          <w:noProof/>
        </w:rPr>
        <w:t>2</w:t>
      </w:r>
      <w:r w:rsidR="00B20075">
        <w:rPr>
          <w:noProof/>
        </w:rPr>
        <w:fldChar w:fldCharType="end"/>
      </w:r>
      <w:r>
        <w:t xml:space="preserve"> - lastre accatastate come previsto dal produttore con interposti listelli di legno o di altri materiali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Prima del sollevamento con gru o autogrù, è importante aver preso visione delle modalità di imbraco indicate sul disegno dal produttore, quindi controllare lo stato di idoneità e conservazione dei ganci e delle funi o catene (verifica annuale e trimestrale) ed effettuare l’imbrago come indicato.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distanza tra il punto di sollevamento e la testa della lastra, viene normalmente indicata dal produttore, in modo da evitare danni al manufatto.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 lastre di medie dimensioni, i ganci vanno posti sui tralicci ad una distanza “d” dal bordo lastra pari a circa 1/5 – 1/6 di L, con L che indica la luce della lastra (fig. 3). Ad es. per un pannello con luce L = 6.00 m. la distanza massima sarà di 100 – 120 cm.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ganci dovranno essere sempre posti in corrispondenza del vertice superiore delle staffe, come indica il dettaglio della </w:t>
      </w:r>
      <w:r>
        <w:rPr>
          <w:rFonts w:ascii="Arial,Italic" w:hAnsi="Arial,Italic" w:cs="Arial,Italic"/>
          <w:i/>
          <w:iCs/>
          <w:sz w:val="20"/>
          <w:szCs w:val="20"/>
        </w:rPr>
        <w:t>figura 3</w:t>
      </w:r>
      <w:r>
        <w:rPr>
          <w:rFonts w:ascii="Arial" w:hAnsi="Arial" w:cs="Arial"/>
          <w:sz w:val="20"/>
          <w:szCs w:val="20"/>
        </w:rPr>
        <w:t>.</w:t>
      </w:r>
    </w:p>
    <w:p w:rsidR="00A6507D" w:rsidRDefault="00A6507D" w:rsidP="00A650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6507D" w:rsidRDefault="00A6507D" w:rsidP="00A6507D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716530" cy="318135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65" cy="318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7D" w:rsidRDefault="00A6507D" w:rsidP="00A6507D">
      <w:pPr>
        <w:pStyle w:val="Didascalia"/>
        <w:jc w:val="center"/>
      </w:pPr>
      <w:r>
        <w:t xml:space="preserve">Figura </w:t>
      </w:r>
      <w:r w:rsidR="00B20075">
        <w:fldChar w:fldCharType="begin"/>
      </w:r>
      <w:r w:rsidR="00B20075">
        <w:instrText xml:space="preserve"> SEQ Figura \* ARABIC </w:instrText>
      </w:r>
      <w:r w:rsidR="00B20075">
        <w:fldChar w:fldCharType="separate"/>
      </w:r>
      <w:r w:rsidR="008F2CC2">
        <w:rPr>
          <w:noProof/>
        </w:rPr>
        <w:t>3</w:t>
      </w:r>
      <w:r w:rsidR="00B20075">
        <w:rPr>
          <w:noProof/>
        </w:rPr>
        <w:fldChar w:fldCharType="end"/>
      </w:r>
      <w:r>
        <w:t xml:space="preserve"> - punto di sollevamento della lastra sul vertice delle staffe - particolare aggancio con gancio girevole di sicurezza</w:t>
      </w:r>
    </w:p>
    <w:p w:rsidR="00A6507D" w:rsidRDefault="00A6507D" w:rsidP="008F2C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Per il sollevamento delle lastre senza elementi di alleggerimento </w:t>
      </w:r>
      <w:proofErr w:type="spellStart"/>
      <w:r>
        <w:rPr>
          <w:rFonts w:ascii="Arial" w:hAnsi="Arial" w:cs="Arial"/>
          <w:sz w:val="20"/>
          <w:szCs w:val="20"/>
        </w:rPr>
        <w:t>preassemblati</w:t>
      </w:r>
      <w:proofErr w:type="spellEnd"/>
      <w:r>
        <w:rPr>
          <w:rFonts w:ascii="Arial" w:hAnsi="Arial" w:cs="Arial"/>
          <w:sz w:val="20"/>
          <w:szCs w:val="20"/>
        </w:rPr>
        <w:t xml:space="preserve"> è altresì buona norma utilizzare barre longitudinali infilate tra i vertici superiori delle staffe dei tralicci, con funi o catene a 4 bracci di portata verificata per il sollevamento in oggetto.</w:t>
      </w:r>
    </w:p>
    <w:p w:rsidR="00A6507D" w:rsidRDefault="00A6507D" w:rsidP="008F2CC2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Nel caso invece di elementi interposti già </w:t>
      </w:r>
      <w:proofErr w:type="spellStart"/>
      <w:r>
        <w:rPr>
          <w:rFonts w:ascii="Arial" w:hAnsi="Arial" w:cs="Arial"/>
          <w:sz w:val="20"/>
          <w:szCs w:val="20"/>
        </w:rPr>
        <w:t>preassemblati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8F2CC2">
        <w:rPr>
          <w:rFonts w:ascii="Arial" w:hAnsi="Arial" w:cs="Arial"/>
          <w:i/>
          <w:sz w:val="20"/>
          <w:szCs w:val="20"/>
        </w:rPr>
        <w:t>(fig.4</w:t>
      </w:r>
      <w:r w:rsidR="008F2CC2" w:rsidRPr="008F2CC2">
        <w:rPr>
          <w:rFonts w:ascii="Arial" w:hAnsi="Arial" w:cs="Arial"/>
          <w:i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le quattro funi o</w:t>
      </w:r>
      <w:r w:rsidR="008F2CC2">
        <w:rPr>
          <w:rFonts w:ascii="Arial" w:hAnsi="Arial" w:cs="Arial"/>
          <w:sz w:val="20"/>
          <w:szCs w:val="20"/>
        </w:rPr>
        <w:t xml:space="preserve"> catene andranno </w:t>
      </w:r>
      <w:r>
        <w:rPr>
          <w:rFonts w:ascii="Arial" w:hAnsi="Arial" w:cs="Arial"/>
          <w:sz w:val="20"/>
          <w:szCs w:val="20"/>
        </w:rPr>
        <w:t>direttamente ancorate ai tralicci della lastra e, se il produttore lo</w:t>
      </w:r>
      <w:r w:rsidR="008F2C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prevede,</w:t>
      </w:r>
      <w:r w:rsidR="008F2CC2">
        <w:rPr>
          <w:rFonts w:ascii="Arial" w:hAnsi="Arial" w:cs="Arial"/>
          <w:sz w:val="20"/>
          <w:szCs w:val="20"/>
        </w:rPr>
        <w:t xml:space="preserve"> si dovrà fare uso di specifici </w:t>
      </w:r>
      <w:r>
        <w:rPr>
          <w:rFonts w:ascii="Arial" w:hAnsi="Arial" w:cs="Arial"/>
          <w:sz w:val="20"/>
          <w:szCs w:val="20"/>
        </w:rPr>
        <w:t xml:space="preserve">bilancini </w:t>
      </w:r>
      <w:r w:rsidR="008F2CC2">
        <w:rPr>
          <w:rFonts w:ascii="Arial,Italic" w:hAnsi="Arial,Italic" w:cs="Arial,Italic"/>
          <w:i/>
          <w:iCs/>
          <w:sz w:val="20"/>
          <w:szCs w:val="20"/>
        </w:rPr>
        <w:t>(fig. 5 e 6</w:t>
      </w:r>
      <w:r>
        <w:rPr>
          <w:rFonts w:ascii="Arial,Italic" w:hAnsi="Arial,Italic" w:cs="Arial,Italic"/>
          <w:i/>
          <w:iCs/>
          <w:sz w:val="20"/>
          <w:szCs w:val="20"/>
        </w:rPr>
        <w:t>).</w:t>
      </w:r>
    </w:p>
    <w:p w:rsidR="008F2CC2" w:rsidRDefault="008F2CC2" w:rsidP="008F2CC2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65128" cy="300037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28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C2" w:rsidRDefault="008F2CC2" w:rsidP="008F2CC2">
      <w:pPr>
        <w:pStyle w:val="Didascalia"/>
        <w:jc w:val="center"/>
      </w:pPr>
      <w:r>
        <w:t xml:space="preserve">Figura </w:t>
      </w:r>
      <w:r w:rsidR="00B20075">
        <w:fldChar w:fldCharType="begin"/>
      </w:r>
      <w:r w:rsidR="00B20075">
        <w:instrText xml:space="preserve"> SEQ Figura \* ARABIC </w:instrText>
      </w:r>
      <w:r w:rsidR="00B20075">
        <w:fldChar w:fldCharType="separate"/>
      </w:r>
      <w:r>
        <w:rPr>
          <w:noProof/>
        </w:rPr>
        <w:t>4</w:t>
      </w:r>
      <w:r w:rsidR="00B20075">
        <w:rPr>
          <w:noProof/>
        </w:rPr>
        <w:fldChar w:fldCharType="end"/>
      </w:r>
      <w:r>
        <w:t xml:space="preserve"> - distanza dal punto di sollevamento dal bordo lastra normalmente prescritto dal produttore</w:t>
      </w:r>
    </w:p>
    <w:p w:rsidR="008F2CC2" w:rsidRDefault="008F2CC2" w:rsidP="008F2C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Durante il sollevamento vanno in ogni caso evitati strappi e colpi improvvisi.</w:t>
      </w:r>
    </w:p>
    <w:p w:rsidR="008F2CC2" w:rsidRDefault="008F2CC2" w:rsidP="008F2C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sollevamento del carico deve comunque essere tale da garantire un angolo al vertice non troppo elevato (normalmente inferiore ai 60° - fig. 10), sia per le sollecitazioni sui punti di aggancio alla lastra, sia per le sollecitazioni sulle funi o catene usate per il sollevamento.</w:t>
      </w:r>
    </w:p>
    <w:p w:rsidR="008F2CC2" w:rsidRDefault="008F2CC2" w:rsidP="008F2C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E’ importante, a questo proposito, segnalare che la portata effettiva di una braca diminuisce all’aumentare dell’angolo al vertice.</w:t>
      </w:r>
    </w:p>
    <w:p w:rsidR="008F2CC2" w:rsidRDefault="008F2CC2" w:rsidP="008F2C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F2CC2" w:rsidRDefault="008F2CC2" w:rsidP="008F2CC2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000375" cy="3721619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78" cy="372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C2" w:rsidRDefault="008F2CC2" w:rsidP="008F2CC2">
      <w:pPr>
        <w:pStyle w:val="Didascalia"/>
        <w:jc w:val="center"/>
      </w:pPr>
      <w:r>
        <w:t xml:space="preserve">Figura </w:t>
      </w:r>
      <w:r w:rsidR="00B20075">
        <w:fldChar w:fldCharType="begin"/>
      </w:r>
      <w:r w:rsidR="00B20075">
        <w:instrText xml:space="preserve"> SEQ Figura \* ARABIC </w:instrText>
      </w:r>
      <w:r w:rsidR="00B20075">
        <w:fldChar w:fldCharType="separate"/>
      </w:r>
      <w:r>
        <w:rPr>
          <w:noProof/>
        </w:rPr>
        <w:t>5</w:t>
      </w:r>
      <w:r w:rsidR="00B20075">
        <w:rPr>
          <w:noProof/>
        </w:rPr>
        <w:fldChar w:fldCharType="end"/>
      </w:r>
      <w:r>
        <w:t xml:space="preserve"> - sollevamento carico con angolo al vertice inferiore ai 60° - uso di bilancini</w:t>
      </w:r>
    </w:p>
    <w:p w:rsidR="008F2CC2" w:rsidRDefault="008F2CC2" w:rsidP="008F2CC2">
      <w:pPr>
        <w:keepNext/>
        <w:jc w:val="center"/>
      </w:pPr>
      <w:r>
        <w:rPr>
          <w:noProof/>
        </w:rPr>
        <w:drawing>
          <wp:inline distT="0" distB="0" distL="0" distR="0">
            <wp:extent cx="3781425" cy="2437771"/>
            <wp:effectExtent l="19050" t="0" r="952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3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C2" w:rsidRDefault="008F2CC2" w:rsidP="008F2CC2">
      <w:pPr>
        <w:pStyle w:val="Didascalia"/>
        <w:jc w:val="center"/>
      </w:pPr>
      <w:r>
        <w:t xml:space="preserve">Figura </w:t>
      </w:r>
      <w:r w:rsidR="00B20075">
        <w:fldChar w:fldCharType="begin"/>
      </w:r>
      <w:r w:rsidR="00B20075">
        <w:instrText xml:space="preserve"> SEQ Figura \* ARABIC </w:instrText>
      </w:r>
      <w:r w:rsidR="00B20075">
        <w:fldChar w:fldCharType="separate"/>
      </w:r>
      <w:r>
        <w:rPr>
          <w:noProof/>
        </w:rPr>
        <w:t>6</w:t>
      </w:r>
      <w:r w:rsidR="00B20075">
        <w:rPr>
          <w:noProof/>
        </w:rPr>
        <w:fldChar w:fldCharType="end"/>
      </w:r>
      <w:r>
        <w:t xml:space="preserve"> - uso di bilancini nel sollevamento lastre</w:t>
      </w:r>
    </w:p>
    <w:p w:rsidR="008F2CC2" w:rsidRDefault="008F2CC2" w:rsidP="008F2CC2"/>
    <w:p w:rsidR="008F2CC2" w:rsidRDefault="008F2CC2" w:rsidP="008F2C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definitiva, per il sollevamento e movimentazione dei carichi, si ribadisce l’importanza di:</w:t>
      </w:r>
    </w:p>
    <w:p w:rsidR="008F2CC2" w:rsidRPr="008F2CC2" w:rsidRDefault="008F2CC2" w:rsidP="008F2CC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2CC2">
        <w:rPr>
          <w:rFonts w:ascii="Arial" w:hAnsi="Arial" w:cs="Arial"/>
          <w:sz w:val="20"/>
          <w:szCs w:val="20"/>
        </w:rPr>
        <w:t>seguire scrupolosamente le indicazioni del produttore dei prefabbricati, utilizzando</w:t>
      </w:r>
      <w:r>
        <w:rPr>
          <w:rFonts w:ascii="Arial" w:hAnsi="Arial" w:cs="Arial"/>
          <w:sz w:val="20"/>
          <w:szCs w:val="20"/>
        </w:rPr>
        <w:t xml:space="preserve"> </w:t>
      </w:r>
      <w:r w:rsidRPr="008F2CC2">
        <w:rPr>
          <w:rFonts w:ascii="Arial" w:hAnsi="Arial" w:cs="Arial"/>
          <w:sz w:val="20"/>
          <w:szCs w:val="20"/>
        </w:rPr>
        <w:t>sempre i punti di aggancio indicati;</w:t>
      </w:r>
    </w:p>
    <w:p w:rsidR="008F2CC2" w:rsidRPr="008F2CC2" w:rsidRDefault="008F2CC2" w:rsidP="008F2CC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2CC2">
        <w:rPr>
          <w:rFonts w:ascii="Arial" w:hAnsi="Arial" w:cs="Arial"/>
          <w:sz w:val="20"/>
          <w:szCs w:val="20"/>
        </w:rPr>
        <w:t>verificare sempre la portata dei singoli accessori per il sollevamento e per</w:t>
      </w:r>
      <w:r>
        <w:rPr>
          <w:rFonts w:ascii="Arial" w:hAnsi="Arial" w:cs="Arial"/>
          <w:sz w:val="20"/>
          <w:szCs w:val="20"/>
        </w:rPr>
        <w:t xml:space="preserve"> </w:t>
      </w:r>
      <w:r w:rsidRPr="008F2CC2">
        <w:rPr>
          <w:rFonts w:ascii="Arial" w:hAnsi="Arial" w:cs="Arial"/>
          <w:sz w:val="20"/>
          <w:szCs w:val="20"/>
        </w:rPr>
        <w:t>l’imbracatura, attraverso le indicazioni riportate sul singolo elemento o sulle</w:t>
      </w:r>
      <w:r>
        <w:rPr>
          <w:rFonts w:ascii="Arial" w:hAnsi="Arial" w:cs="Arial"/>
          <w:sz w:val="20"/>
          <w:szCs w:val="20"/>
        </w:rPr>
        <w:t xml:space="preserve"> </w:t>
      </w:r>
      <w:r w:rsidRPr="008F2CC2">
        <w:rPr>
          <w:rFonts w:ascii="Arial" w:hAnsi="Arial" w:cs="Arial"/>
          <w:sz w:val="20"/>
          <w:szCs w:val="20"/>
        </w:rPr>
        <w:t>etichette dell’elemento stesso;</w:t>
      </w:r>
    </w:p>
    <w:p w:rsidR="008F2CC2" w:rsidRPr="008F2CC2" w:rsidRDefault="008F2CC2" w:rsidP="008F2CC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2CC2">
        <w:rPr>
          <w:rFonts w:ascii="Arial" w:hAnsi="Arial" w:cs="Arial"/>
          <w:sz w:val="20"/>
          <w:szCs w:val="20"/>
        </w:rPr>
        <w:t>utilizzare solo ed esclusivamente accessori per il sollevamento e per l’imbracatura</w:t>
      </w:r>
      <w:r>
        <w:rPr>
          <w:rFonts w:ascii="Arial" w:hAnsi="Arial" w:cs="Arial"/>
          <w:sz w:val="20"/>
          <w:szCs w:val="20"/>
        </w:rPr>
        <w:t xml:space="preserve"> di portate e </w:t>
      </w:r>
      <w:r w:rsidRPr="008F2CC2">
        <w:rPr>
          <w:rFonts w:ascii="Arial" w:hAnsi="Arial" w:cs="Arial"/>
          <w:sz w:val="20"/>
          <w:szCs w:val="20"/>
        </w:rPr>
        <w:t>caratteristiche idonei ai carichi da movimentare;</w:t>
      </w:r>
    </w:p>
    <w:p w:rsidR="008F2CC2" w:rsidRDefault="008F2CC2" w:rsidP="008F2CC2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8F2CC2">
        <w:rPr>
          <w:rFonts w:ascii="Arial" w:hAnsi="Arial" w:cs="Arial"/>
          <w:sz w:val="20"/>
          <w:szCs w:val="20"/>
        </w:rPr>
        <w:t>adottare un angolo al vertice delle funi o catene il più stretto possibile, ricordando</w:t>
      </w:r>
      <w:r w:rsidR="00D97A5F">
        <w:rPr>
          <w:rFonts w:ascii="Arial" w:hAnsi="Arial" w:cs="Arial"/>
          <w:sz w:val="20"/>
          <w:szCs w:val="20"/>
        </w:rPr>
        <w:t xml:space="preserve"> </w:t>
      </w:r>
      <w:r w:rsidRPr="00D97A5F">
        <w:rPr>
          <w:rFonts w:ascii="Arial" w:hAnsi="Arial" w:cs="Arial"/>
          <w:sz w:val="20"/>
          <w:szCs w:val="20"/>
        </w:rPr>
        <w:t>che più è acuto, minori sono le sollecitazioni su tutti gli elementi di sollevamento e</w:t>
      </w:r>
      <w:r w:rsidR="00D97A5F">
        <w:rPr>
          <w:rFonts w:ascii="Arial" w:hAnsi="Arial" w:cs="Arial"/>
          <w:sz w:val="20"/>
          <w:szCs w:val="20"/>
        </w:rPr>
        <w:t xml:space="preserve"> </w:t>
      </w:r>
      <w:r w:rsidRPr="00D97A5F">
        <w:rPr>
          <w:rFonts w:ascii="Arial" w:hAnsi="Arial" w:cs="Arial"/>
          <w:sz w:val="20"/>
          <w:szCs w:val="20"/>
        </w:rPr>
        <w:t>dei manufatti.</w:t>
      </w:r>
    </w:p>
    <w:p w:rsidR="00443F68" w:rsidRDefault="00443F68" w:rsidP="00443F68">
      <w:pPr>
        <w:pStyle w:val="Paragrafoelenco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43F68" w:rsidRPr="00A25CD6" w:rsidRDefault="00443F68" w:rsidP="00443F68">
      <w:r>
        <w:rPr>
          <w:rFonts w:ascii="Arial" w:hAnsi="Arial" w:cs="Arial"/>
          <w:b/>
          <w:bCs/>
          <w:sz w:val="20"/>
          <w:szCs w:val="20"/>
        </w:rPr>
        <w:t>4) D.P.I. NECESSARI</w:t>
      </w: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Scarpe</w:t>
      </w: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lastRenderedPageBreak/>
        <w:t>Tuta di protezione</w:t>
      </w: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Scarpe antinfortunistiche</w:t>
      </w:r>
    </w:p>
    <w:p w:rsidR="00443F68" w:rsidRPr="00A25CD6" w:rsidRDefault="00443F68" w:rsidP="00443F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A25CD6">
        <w:rPr>
          <w:rFonts w:ascii="Arial" w:hAnsi="Arial" w:cs="Arial"/>
          <w:color w:val="000000"/>
          <w:sz w:val="20"/>
          <w:szCs w:val="20"/>
        </w:rPr>
        <w:t>Guanti</w:t>
      </w:r>
    </w:p>
    <w:p w:rsidR="00443F68" w:rsidRPr="008E41B2" w:rsidRDefault="00443F68" w:rsidP="00443F6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Imbracatura e cintura di sicurezza</w:t>
      </w:r>
    </w:p>
    <w:p w:rsidR="00443F68" w:rsidRPr="00D97A5F" w:rsidRDefault="00443F68" w:rsidP="00443F68">
      <w:pPr>
        <w:pStyle w:val="Paragrafoelenco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sectPr w:rsidR="00443F68" w:rsidRPr="00D97A5F" w:rsidSect="008E523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C62E2"/>
    <w:multiLevelType w:val="hybridMultilevel"/>
    <w:tmpl w:val="C2F02ADA"/>
    <w:lvl w:ilvl="0" w:tplc="05ECA7B8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3D"/>
    <w:rsid w:val="002E7E3D"/>
    <w:rsid w:val="00443F68"/>
    <w:rsid w:val="004A0797"/>
    <w:rsid w:val="006156E5"/>
    <w:rsid w:val="00701476"/>
    <w:rsid w:val="008016DC"/>
    <w:rsid w:val="008E5237"/>
    <w:rsid w:val="008F2CC2"/>
    <w:rsid w:val="0092066A"/>
    <w:rsid w:val="00964410"/>
    <w:rsid w:val="009B535A"/>
    <w:rsid w:val="00A6507D"/>
    <w:rsid w:val="00AA25E9"/>
    <w:rsid w:val="00B20075"/>
    <w:rsid w:val="00C1758E"/>
    <w:rsid w:val="00D747B0"/>
    <w:rsid w:val="00D97A5F"/>
    <w:rsid w:val="00FB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2066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066A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92066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2066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066A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92066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cpt</dc:creator>
  <cp:lastModifiedBy>Federica Gozzini</cp:lastModifiedBy>
  <cp:revision>2</cp:revision>
  <dcterms:created xsi:type="dcterms:W3CDTF">2013-06-26T10:27:00Z</dcterms:created>
  <dcterms:modified xsi:type="dcterms:W3CDTF">2013-06-26T10:27:00Z</dcterms:modified>
</cp:coreProperties>
</file>